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587D" w14:textId="77777777" w:rsidR="00253C91" w:rsidRPr="00423F40" w:rsidRDefault="00253C91" w:rsidP="00253C91">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 xml:space="preserve">Standards and Integrity </w:t>
      </w:r>
      <w:r w:rsidRPr="001042FC">
        <w:rPr>
          <w:b/>
          <w:sz w:val="28"/>
          <w:szCs w:val="28"/>
        </w:rPr>
        <w:t>Council</w:t>
      </w:r>
    </w:p>
    <w:p w14:paraId="0C055F19" w14:textId="3C7FF0A9" w:rsidR="00253C91" w:rsidRPr="008B7576" w:rsidRDefault="004A4CEA" w:rsidP="00253C91">
      <w:pPr>
        <w:spacing w:after="0"/>
        <w:rPr>
          <w:b/>
          <w:bCs/>
        </w:rPr>
      </w:pPr>
      <w:r>
        <w:rPr>
          <w:b/>
          <w:bCs/>
        </w:rPr>
        <w:t>September 13</w:t>
      </w:r>
      <w:r w:rsidR="00253C91" w:rsidRPr="008B7576">
        <w:rPr>
          <w:b/>
          <w:bCs/>
        </w:rPr>
        <w:t xml:space="preserve">, </w:t>
      </w:r>
      <w:proofErr w:type="gramStart"/>
      <w:r w:rsidR="00253C91" w:rsidRPr="008B7576">
        <w:rPr>
          <w:b/>
          <w:bCs/>
        </w:rPr>
        <w:t>202</w:t>
      </w:r>
      <w:r w:rsidR="00253C91">
        <w:rPr>
          <w:b/>
          <w:bCs/>
        </w:rPr>
        <w:t>1</w:t>
      </w:r>
      <w:proofErr w:type="gramEnd"/>
      <w:r w:rsidR="00253C91" w:rsidRPr="008B7576">
        <w:rPr>
          <w:b/>
          <w:bCs/>
        </w:rPr>
        <w:t xml:space="preserve"> Meeting</w:t>
      </w:r>
    </w:p>
    <w:p w14:paraId="451DF196" w14:textId="77777777" w:rsidR="00253C91" w:rsidRDefault="00253C91" w:rsidP="00253C91">
      <w:pPr>
        <w:spacing w:after="0"/>
      </w:pPr>
      <w:r>
        <w:t xml:space="preserve">Version 1, By Ben </w:t>
      </w:r>
      <w:proofErr w:type="spellStart"/>
      <w:r>
        <w:t>Fouts</w:t>
      </w:r>
      <w:proofErr w:type="spellEnd"/>
      <w:r>
        <w:t xml:space="preserve"> MPH, RCHC Data Analyst</w:t>
      </w:r>
    </w:p>
    <w:p w14:paraId="28C9E77A" w14:textId="77777777" w:rsidR="00253C91" w:rsidRDefault="00253C91" w:rsidP="00253C91">
      <w:pPr>
        <w:spacing w:after="0"/>
      </w:pPr>
    </w:p>
    <w:p w14:paraId="3873D717" w14:textId="77777777" w:rsidR="00253C91" w:rsidRDefault="00253C91" w:rsidP="00253C91">
      <w:pPr>
        <w:spacing w:after="0"/>
      </w:pPr>
    </w:p>
    <w:p w14:paraId="01AB24A7" w14:textId="2EDCD4EA" w:rsidR="00253C91" w:rsidRPr="00EC5C1F" w:rsidRDefault="004A4CEA" w:rsidP="00253C91">
      <w:pPr>
        <w:pStyle w:val="ListParagraph"/>
        <w:numPr>
          <w:ilvl w:val="0"/>
          <w:numId w:val="1"/>
        </w:numPr>
        <w:spacing w:after="0"/>
        <w:rPr>
          <w:b/>
          <w:bCs/>
        </w:rPr>
      </w:pPr>
      <w:r>
        <w:rPr>
          <w:b/>
          <w:bCs/>
        </w:rPr>
        <w:t>UDS Reporting of Visits for COVID-19 Screenings and Immunizations</w:t>
      </w:r>
    </w:p>
    <w:p w14:paraId="1DA9BAE4" w14:textId="77777777" w:rsidR="00253C91" w:rsidRDefault="00253C91" w:rsidP="00253C91">
      <w:pPr>
        <w:spacing w:after="0"/>
      </w:pPr>
    </w:p>
    <w:p w14:paraId="1373745B" w14:textId="1A4612E2" w:rsidR="00253C91" w:rsidRPr="00EC5C1F" w:rsidRDefault="00253C91" w:rsidP="00253C91">
      <w:pPr>
        <w:spacing w:after="0"/>
      </w:pPr>
      <w:r w:rsidRPr="00EC5C1F">
        <w:rPr>
          <w:u w:val="single"/>
        </w:rPr>
        <w:t>Report</w:t>
      </w:r>
      <w:r>
        <w:rPr>
          <w:u w:val="single"/>
        </w:rPr>
        <w:t>s</w:t>
      </w:r>
      <w:r w:rsidRPr="00EC5C1F">
        <w:t xml:space="preserve">: </w:t>
      </w:r>
      <w:r w:rsidR="00003D02">
        <w:t xml:space="preserve">2021 </w:t>
      </w:r>
      <w:r w:rsidR="004A4CEA">
        <w:t>UDS Report</w:t>
      </w:r>
    </w:p>
    <w:p w14:paraId="3DCFF11B" w14:textId="291714D1" w:rsidR="008821FE" w:rsidRDefault="008821FE" w:rsidP="00253C91">
      <w:pPr>
        <w:spacing w:after="0"/>
      </w:pPr>
    </w:p>
    <w:p w14:paraId="75865131" w14:textId="62191057" w:rsidR="008E0092" w:rsidRDefault="008E0092" w:rsidP="00253C91">
      <w:pPr>
        <w:spacing w:after="0"/>
      </w:pPr>
      <w:r w:rsidRPr="00254877">
        <w:rPr>
          <w:u w:val="single"/>
        </w:rPr>
        <w:t>Issue</w:t>
      </w:r>
      <w:r>
        <w:t xml:space="preserve">: </w:t>
      </w:r>
      <w:r w:rsidR="007F4E6B">
        <w:t>Not all visits and patients with Covid-19 screening labs and/or Covid-19 vaccines are reported on the UDS. Health centers should research how Relevant classifies these patients and visits.</w:t>
      </w:r>
    </w:p>
    <w:p w14:paraId="53E93E86" w14:textId="77777777" w:rsidR="008E0092" w:rsidRDefault="008E0092" w:rsidP="00253C91">
      <w:pPr>
        <w:spacing w:after="0"/>
      </w:pPr>
    </w:p>
    <w:p w14:paraId="4551C429" w14:textId="3E6393E7" w:rsidR="0007759D" w:rsidRDefault="00253C91" w:rsidP="00003D02">
      <w:pPr>
        <w:spacing w:after="0"/>
      </w:pPr>
      <w:r w:rsidRPr="00EC5C1F">
        <w:rPr>
          <w:u w:val="single"/>
        </w:rPr>
        <w:t>Description</w:t>
      </w:r>
      <w:r w:rsidRPr="00EC5C1F">
        <w:t>:</w:t>
      </w:r>
      <w:r>
        <w:t xml:space="preserve"> </w:t>
      </w:r>
      <w:r w:rsidR="00003D02">
        <w:t>The 2021 UDS Manual states that “n</w:t>
      </w:r>
      <w:r w:rsidR="00003D02" w:rsidRPr="00003D02">
        <w:t>ot all individuals, encounters, and health center personnel will count in the UDS Report</w:t>
      </w:r>
      <w:r w:rsidR="00003D02">
        <w:t xml:space="preserve">” (page 17) and so we </w:t>
      </w:r>
      <w:proofErr w:type="gramStart"/>
      <w:r w:rsidR="00003D02">
        <w:t>have to</w:t>
      </w:r>
      <w:proofErr w:type="gramEnd"/>
      <w:r w:rsidR="00003D02">
        <w:t xml:space="preserve"> be careful about what information from our EHR/Relevant is extracted to form the UDS patient population and </w:t>
      </w:r>
      <w:r w:rsidR="00A87F6D">
        <w:t xml:space="preserve">the </w:t>
      </w:r>
      <w:r w:rsidR="00003D02">
        <w:t>associated visit</w:t>
      </w:r>
      <w:r w:rsidR="00A87F6D">
        <w:t xml:space="preserve"> count and visit details. It is important to consider now, before we start looking at the 2021 UDS data and </w:t>
      </w:r>
      <w:proofErr w:type="gramStart"/>
      <w:r w:rsidR="00A87F6D">
        <w:t>in light of</w:t>
      </w:r>
      <w:proofErr w:type="gramEnd"/>
      <w:r w:rsidR="00A87F6D">
        <w:t xml:space="preserve"> the large amount of COVID information in the EHR.</w:t>
      </w:r>
    </w:p>
    <w:p w14:paraId="2706AA4A" w14:textId="45BF9739" w:rsidR="00A87F6D" w:rsidRDefault="00A87F6D" w:rsidP="00003D02">
      <w:pPr>
        <w:spacing w:after="0"/>
      </w:pPr>
    </w:p>
    <w:p w14:paraId="62194457" w14:textId="542D4976" w:rsidR="00A87F6D" w:rsidRDefault="00A87F6D" w:rsidP="00A87F6D">
      <w:pPr>
        <w:spacing w:after="0"/>
      </w:pPr>
      <w:r>
        <w:t xml:space="preserve">Just as a quick review, unduplicated patients on the UDS </w:t>
      </w:r>
      <w:r w:rsidRPr="00A87F6D">
        <w:t xml:space="preserve">Tables 3A, 3B, and </w:t>
      </w:r>
      <w:r>
        <w:t>4 and the table for p</w:t>
      </w:r>
      <w:r w:rsidRPr="00A87F6D">
        <w:t xml:space="preserve">atients by ZIP Code </w:t>
      </w:r>
      <w:r>
        <w:t xml:space="preserve">must have had at least one visit in 2021 that meets the following definition (from page 17 of the manual): an encounter between a patient and a licensed or credentialed provider who exercises independent professional judgment in providing services that are documented, individual, and in-person or virtual. </w:t>
      </w:r>
    </w:p>
    <w:p w14:paraId="686822AF" w14:textId="7E078636" w:rsidR="00A87F6D" w:rsidRDefault="00A87F6D" w:rsidP="00A87F6D">
      <w:pPr>
        <w:spacing w:after="0"/>
      </w:pPr>
    </w:p>
    <w:p w14:paraId="01B4C260" w14:textId="4CB5DE8A" w:rsidR="00A87F6D" w:rsidRDefault="00A87F6D" w:rsidP="00A87F6D">
      <w:pPr>
        <w:spacing w:after="0"/>
      </w:pPr>
      <w:r>
        <w:t>The definition of a “provider” is on page 21 of the manual and a list of provider personnel appears in Appendix A (beginning on page 157). Once you have this group of patients,</w:t>
      </w:r>
      <w:r w:rsidR="00780E3C">
        <w:t xml:space="preserve"> you can count visits (with providers and non-providers) on Table 5 and count patients and visits by diagnosis and procedure on Table 6A.</w:t>
      </w:r>
    </w:p>
    <w:p w14:paraId="78273B75" w14:textId="1420E3DA" w:rsidR="00780E3C" w:rsidRDefault="00780E3C" w:rsidP="00A87F6D">
      <w:pPr>
        <w:spacing w:after="0"/>
      </w:pPr>
    </w:p>
    <w:p w14:paraId="40FB654A" w14:textId="6F734D53" w:rsidR="00A87F6D" w:rsidRDefault="00780E3C" w:rsidP="00A87F6D">
      <w:pPr>
        <w:spacing w:after="0"/>
      </w:pPr>
      <w:r>
        <w:t>Now, let’s consider COVID screenings and vaccinations. These are not considered visits for the purpose of defining “health center patients” by the above definition. On page 20 of the manual there is a section titled “</w:t>
      </w:r>
      <w:r w:rsidRPr="00780E3C">
        <w:t>Services and Individuals Not Reported on the UDS Report</w:t>
      </w:r>
      <w:r>
        <w:t>” that states “</w:t>
      </w:r>
      <w:r w:rsidRPr="00780E3C">
        <w:t>Someone who only receives one of the services described below is not a patient for purposes of UDS reporting</w:t>
      </w:r>
      <w:r>
        <w:t>.” These services include “…</w:t>
      </w:r>
      <w:r w:rsidRPr="00780E3C">
        <w:t>Laboratory tests (including COVID-19</w:t>
      </w:r>
      <w:r>
        <w:t>…” and “…</w:t>
      </w:r>
      <w:r w:rsidRPr="00780E3C">
        <w:t>giving any injection (including for vaccines, COVID-19</w:t>
      </w:r>
      <w:r>
        <w:t>…”</w:t>
      </w:r>
    </w:p>
    <w:p w14:paraId="356A56C6" w14:textId="4B8FB9E1" w:rsidR="00780E3C" w:rsidRDefault="00780E3C" w:rsidP="00A87F6D">
      <w:pPr>
        <w:spacing w:after="0"/>
      </w:pPr>
    </w:p>
    <w:p w14:paraId="63DABF4F" w14:textId="1FA6B6CD" w:rsidR="00780E3C" w:rsidRDefault="00E77C94" w:rsidP="00A87F6D">
      <w:pPr>
        <w:spacing w:after="0"/>
      </w:pPr>
      <w:r>
        <w:t>In conclusion</w:t>
      </w:r>
      <w:r w:rsidR="00780E3C">
        <w:t xml:space="preserve">, people who </w:t>
      </w:r>
      <w:r w:rsidR="00780E3C" w:rsidRPr="00780E3C">
        <w:rPr>
          <w:b/>
          <w:bCs/>
        </w:rPr>
        <w:t>only</w:t>
      </w:r>
      <w:r w:rsidR="00780E3C">
        <w:t xml:space="preserve"> receive a COVID-19 lab test and/or a COVID-19 vaccine are not reported on the UDS or any of the clinical measures we report to other agencies, such as PHASE or PIP</w:t>
      </w:r>
      <w:r>
        <w:rPr>
          <w:rStyle w:val="FootnoteReference"/>
        </w:rPr>
        <w:footnoteReference w:id="1"/>
      </w:r>
      <w:r w:rsidR="00780E3C">
        <w:t xml:space="preserve">. </w:t>
      </w:r>
    </w:p>
    <w:p w14:paraId="7C8D4F6F" w14:textId="63E1F93E" w:rsidR="00A87F6D" w:rsidRDefault="00A87F6D" w:rsidP="00A87F6D">
      <w:pPr>
        <w:spacing w:after="0"/>
      </w:pPr>
    </w:p>
    <w:p w14:paraId="0B1DC408" w14:textId="0D77D02F" w:rsidR="0022551B" w:rsidRDefault="00E77C94" w:rsidP="00A87F6D">
      <w:pPr>
        <w:spacing w:after="0"/>
      </w:pPr>
      <w:r>
        <w:t xml:space="preserve">Therefore, health centers should do their own internal studies to see how </w:t>
      </w:r>
      <w:r w:rsidR="009B0DD0">
        <w:t xml:space="preserve">visits for </w:t>
      </w:r>
      <w:r>
        <w:t xml:space="preserve">COVID-19 lab tests and COVID-19 vaccines are being handled in Relevant. All visits can be classified as UDS Universe Visits </w:t>
      </w:r>
      <w:r>
        <w:lastRenderedPageBreak/>
        <w:t>and UDS Medical Visits on the Relevant Importers “Visits” and “V</w:t>
      </w:r>
      <w:r w:rsidRPr="00E77C94">
        <w:t>isit</w:t>
      </w:r>
      <w:r>
        <w:t xml:space="preserve"> S</w:t>
      </w:r>
      <w:r w:rsidRPr="00E77C94">
        <w:t>et</w:t>
      </w:r>
      <w:r>
        <w:t xml:space="preserve"> M</w:t>
      </w:r>
      <w:r w:rsidRPr="00E77C94">
        <w:t>emberships</w:t>
      </w:r>
      <w:r>
        <w:t xml:space="preserve">.” </w:t>
      </w:r>
      <w:r w:rsidR="0022551B">
        <w:t>Investigate if these visits are included in the UDS Universe and/or UDS Medical Universe.</w:t>
      </w:r>
    </w:p>
    <w:p w14:paraId="6F19F660" w14:textId="77777777" w:rsidR="0022551B" w:rsidRDefault="0022551B" w:rsidP="00A87F6D">
      <w:pPr>
        <w:spacing w:after="0"/>
      </w:pPr>
    </w:p>
    <w:p w14:paraId="6F23B60F" w14:textId="2EEC5CDE" w:rsidR="00E77C94" w:rsidRDefault="0022551B" w:rsidP="00A87F6D">
      <w:pPr>
        <w:spacing w:after="0"/>
      </w:pPr>
      <w:r>
        <w:t xml:space="preserve">These types of visits can be seen on the Relevant Visit Calendar as well. If you have </w:t>
      </w:r>
      <w:proofErr w:type="gramStart"/>
      <w:r>
        <w:t>particular visit</w:t>
      </w:r>
      <w:proofErr w:type="gramEnd"/>
      <w:r>
        <w:t xml:space="preserve"> types or designated “providers” for COVID labs vaccines, see if they are also in the UDS Universe and/or UDS Medical Universe.</w:t>
      </w:r>
    </w:p>
    <w:p w14:paraId="3CB37CB4" w14:textId="4CC3C6E1" w:rsidR="00074B5E" w:rsidRDefault="00074B5E" w:rsidP="00A87F6D">
      <w:pPr>
        <w:spacing w:after="0"/>
      </w:pPr>
    </w:p>
    <w:p w14:paraId="357F5419" w14:textId="56145BE2" w:rsidR="0022551B" w:rsidRDefault="00074B5E" w:rsidP="00A87F6D">
      <w:pPr>
        <w:spacing w:after="0"/>
      </w:pPr>
      <w:r>
        <w:t>Choose your visit types or providers:</w:t>
      </w:r>
    </w:p>
    <w:p w14:paraId="155414F1" w14:textId="4B68CF1C" w:rsidR="0022551B" w:rsidRDefault="00951198" w:rsidP="00A87F6D">
      <w:pPr>
        <w:spacing w:after="0"/>
      </w:pPr>
      <w:r>
        <w:rPr>
          <w:noProof/>
        </w:rPr>
        <w:drawing>
          <wp:inline distT="0" distB="0" distL="0" distR="0" wp14:anchorId="036D65FA" wp14:editId="6CE41A45">
            <wp:extent cx="2753734" cy="3257550"/>
            <wp:effectExtent l="19050" t="19050" r="2794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6874" cy="3261265"/>
                    </a:xfrm>
                    <a:prstGeom prst="rect">
                      <a:avLst/>
                    </a:prstGeom>
                    <a:noFill/>
                    <a:ln w="3175">
                      <a:solidFill>
                        <a:schemeClr val="tx1"/>
                      </a:solidFill>
                    </a:ln>
                  </pic:spPr>
                </pic:pic>
              </a:graphicData>
            </a:graphic>
          </wp:inline>
        </w:drawing>
      </w:r>
      <w:r>
        <w:rPr>
          <w:noProof/>
        </w:rPr>
        <w:drawing>
          <wp:inline distT="0" distB="0" distL="0" distR="0" wp14:anchorId="501E9D56" wp14:editId="03650CEE">
            <wp:extent cx="2724150" cy="3252513"/>
            <wp:effectExtent l="19050" t="19050" r="19050" b="24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2858" cy="3274849"/>
                    </a:xfrm>
                    <a:prstGeom prst="rect">
                      <a:avLst/>
                    </a:prstGeom>
                    <a:noFill/>
                    <a:ln w="3175">
                      <a:solidFill>
                        <a:schemeClr val="tx1"/>
                      </a:solidFill>
                    </a:ln>
                  </pic:spPr>
                </pic:pic>
              </a:graphicData>
            </a:graphic>
          </wp:inline>
        </w:drawing>
      </w:r>
    </w:p>
    <w:p w14:paraId="52F1AADE" w14:textId="1C34DE64" w:rsidR="00951198" w:rsidRDefault="00951198" w:rsidP="00A87F6D">
      <w:pPr>
        <w:spacing w:after="0"/>
      </w:pPr>
    </w:p>
    <w:p w14:paraId="1C844C13" w14:textId="3634C1BA" w:rsidR="00074B5E" w:rsidRDefault="00074B5E" w:rsidP="00A87F6D">
      <w:pPr>
        <w:spacing w:after="0"/>
      </w:pPr>
      <w:r>
        <w:t>See if those choices produce any visits (this is an example from the RCHC Aggregate)</w:t>
      </w:r>
    </w:p>
    <w:p w14:paraId="3945805D" w14:textId="2AFBAA99" w:rsidR="00951198" w:rsidRDefault="00074B5E" w:rsidP="00A87F6D">
      <w:pPr>
        <w:spacing w:after="0"/>
      </w:pPr>
      <w:r>
        <w:rPr>
          <w:noProof/>
        </w:rPr>
        <w:drawing>
          <wp:inline distT="0" distB="0" distL="0" distR="0" wp14:anchorId="14398838" wp14:editId="5417B904">
            <wp:extent cx="5943600" cy="288607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886075"/>
                    </a:xfrm>
                    <a:prstGeom prst="rect">
                      <a:avLst/>
                    </a:prstGeom>
                    <a:noFill/>
                    <a:ln w="3175">
                      <a:solidFill>
                        <a:schemeClr val="tx1"/>
                      </a:solidFill>
                    </a:ln>
                  </pic:spPr>
                </pic:pic>
              </a:graphicData>
            </a:graphic>
          </wp:inline>
        </w:drawing>
      </w:r>
    </w:p>
    <w:p w14:paraId="2991F5E8" w14:textId="28C68A52" w:rsidR="0022551B" w:rsidRDefault="00074B5E" w:rsidP="00A87F6D">
      <w:pPr>
        <w:spacing w:after="0"/>
      </w:pPr>
      <w:r>
        <w:lastRenderedPageBreak/>
        <w:t>Then toggle the UDS visits button to see if those are classified in the UDS Visit Universe</w:t>
      </w:r>
    </w:p>
    <w:p w14:paraId="67C56BBF" w14:textId="1BC36FE8" w:rsidR="00074B5E" w:rsidRDefault="00074B5E" w:rsidP="00A87F6D">
      <w:pPr>
        <w:spacing w:after="0"/>
      </w:pPr>
    </w:p>
    <w:p w14:paraId="33A8D1E0" w14:textId="02C1A1BE" w:rsidR="00074B5E" w:rsidRDefault="00074B5E" w:rsidP="00A87F6D">
      <w:pPr>
        <w:spacing w:after="0"/>
      </w:pPr>
      <w:r>
        <w:rPr>
          <w:noProof/>
        </w:rPr>
        <w:drawing>
          <wp:inline distT="0" distB="0" distL="0" distR="0" wp14:anchorId="1C526BE0" wp14:editId="4615A16E">
            <wp:extent cx="5934075" cy="2867025"/>
            <wp:effectExtent l="19050" t="190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867025"/>
                    </a:xfrm>
                    <a:prstGeom prst="rect">
                      <a:avLst/>
                    </a:prstGeom>
                    <a:noFill/>
                    <a:ln w="3175">
                      <a:solidFill>
                        <a:schemeClr val="tx1"/>
                      </a:solidFill>
                    </a:ln>
                  </pic:spPr>
                </pic:pic>
              </a:graphicData>
            </a:graphic>
          </wp:inline>
        </w:drawing>
      </w:r>
    </w:p>
    <w:p w14:paraId="7FEC44CE" w14:textId="261884A7" w:rsidR="00074B5E" w:rsidRDefault="00074B5E" w:rsidP="00A87F6D">
      <w:pPr>
        <w:spacing w:after="0"/>
      </w:pPr>
    </w:p>
    <w:p w14:paraId="29EA09BE" w14:textId="40B3AD6D" w:rsidR="00074B5E" w:rsidRDefault="00074B5E" w:rsidP="00074B5E">
      <w:pPr>
        <w:spacing w:after="0"/>
      </w:pPr>
      <w:r>
        <w:t>Then toggle the UDS medical visits button to see if those are classified in the UDS Medical Visit Universe</w:t>
      </w:r>
    </w:p>
    <w:p w14:paraId="48111181" w14:textId="49B10F29" w:rsidR="00074B5E" w:rsidRDefault="00074B5E" w:rsidP="00074B5E">
      <w:pPr>
        <w:spacing w:after="0"/>
      </w:pPr>
      <w:r>
        <w:rPr>
          <w:noProof/>
        </w:rPr>
        <w:drawing>
          <wp:inline distT="0" distB="0" distL="0" distR="0" wp14:anchorId="0CE5B9AB" wp14:editId="457184DD">
            <wp:extent cx="5943600" cy="285750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857500"/>
                    </a:xfrm>
                    <a:prstGeom prst="rect">
                      <a:avLst/>
                    </a:prstGeom>
                    <a:noFill/>
                    <a:ln w="3175">
                      <a:solidFill>
                        <a:schemeClr val="tx1"/>
                      </a:solidFill>
                    </a:ln>
                  </pic:spPr>
                </pic:pic>
              </a:graphicData>
            </a:graphic>
          </wp:inline>
        </w:drawing>
      </w:r>
    </w:p>
    <w:p w14:paraId="74D8B587" w14:textId="77777777" w:rsidR="0007759D" w:rsidRDefault="0007759D" w:rsidP="0007759D">
      <w:pPr>
        <w:spacing w:after="0"/>
        <w:ind w:left="360"/>
      </w:pPr>
    </w:p>
    <w:p w14:paraId="2F9F04E9" w14:textId="3BB7A9A6" w:rsidR="00B8101A" w:rsidRDefault="00C6081F" w:rsidP="009409BB">
      <w:pPr>
        <w:spacing w:after="0"/>
      </w:pPr>
      <w:r>
        <w:t xml:space="preserve">Right now, only do some research to see how these are classified </w:t>
      </w:r>
      <w:proofErr w:type="gramStart"/>
      <w:r>
        <w:t>in light of</w:t>
      </w:r>
      <w:proofErr w:type="gramEnd"/>
      <w:r>
        <w:t xml:space="preserve"> the UDS definitions. We are not recommending that any changes to Relevant be immediately performed without consulting your Relevant contact. </w:t>
      </w:r>
      <w:r w:rsidR="003A0D3C">
        <w:t>The standard SQL in the UDS Report section of Relevant must also be considered for how patients and visits are being pulled and Ben has sent some questions to Relevant about this topic.</w:t>
      </w:r>
    </w:p>
    <w:p w14:paraId="563217CF" w14:textId="77777777" w:rsidR="00B8101A" w:rsidRDefault="00B8101A" w:rsidP="009409BB">
      <w:pPr>
        <w:spacing w:after="0"/>
      </w:pPr>
    </w:p>
    <w:p w14:paraId="4A6843A0" w14:textId="3D0B7513" w:rsidR="002B4B99" w:rsidRDefault="002B4B99" w:rsidP="009409BB">
      <w:pPr>
        <w:spacing w:after="0"/>
      </w:pPr>
    </w:p>
    <w:p w14:paraId="7B971CBC" w14:textId="6F365965" w:rsidR="007F4E6B" w:rsidRDefault="007F4E6B" w:rsidP="009409BB">
      <w:pPr>
        <w:spacing w:after="0"/>
      </w:pPr>
    </w:p>
    <w:p w14:paraId="131076B3" w14:textId="79A66001" w:rsidR="007F4E6B" w:rsidRDefault="007F4E6B" w:rsidP="009409BB">
      <w:pPr>
        <w:spacing w:after="0"/>
      </w:pPr>
    </w:p>
    <w:p w14:paraId="5A6AE1DE" w14:textId="01F39292" w:rsidR="007F4E6B" w:rsidRPr="00EC5C1F" w:rsidRDefault="007F4E6B" w:rsidP="007F4E6B">
      <w:pPr>
        <w:pStyle w:val="ListParagraph"/>
        <w:numPr>
          <w:ilvl w:val="0"/>
          <w:numId w:val="1"/>
        </w:numPr>
        <w:spacing w:after="0"/>
        <w:rPr>
          <w:b/>
          <w:bCs/>
        </w:rPr>
      </w:pPr>
      <w:r>
        <w:rPr>
          <w:b/>
          <w:bCs/>
        </w:rPr>
        <w:lastRenderedPageBreak/>
        <w:t xml:space="preserve">Adding PHQ-2 and PHQ-9 </w:t>
      </w:r>
      <w:proofErr w:type="gramStart"/>
      <w:r w:rsidR="004E37A4">
        <w:rPr>
          <w:b/>
          <w:bCs/>
        </w:rPr>
        <w:t>S</w:t>
      </w:r>
      <w:r>
        <w:rPr>
          <w:b/>
          <w:bCs/>
        </w:rPr>
        <w:t>cores</w:t>
      </w:r>
      <w:proofErr w:type="gramEnd"/>
      <w:r>
        <w:rPr>
          <w:b/>
          <w:bCs/>
        </w:rPr>
        <w:t xml:space="preserve"> to the </w:t>
      </w:r>
      <w:r w:rsidR="00506289">
        <w:rPr>
          <w:b/>
          <w:bCs/>
        </w:rPr>
        <w:t xml:space="preserve">Relevant </w:t>
      </w:r>
      <w:r w:rsidR="004940FF">
        <w:rPr>
          <w:b/>
          <w:bCs/>
        </w:rPr>
        <w:t>S</w:t>
      </w:r>
      <w:r w:rsidR="00506289">
        <w:rPr>
          <w:b/>
          <w:bCs/>
        </w:rPr>
        <w:t xml:space="preserve">tandard </w:t>
      </w:r>
      <w:r w:rsidR="004940FF">
        <w:rPr>
          <w:b/>
          <w:bCs/>
        </w:rPr>
        <w:t>D</w:t>
      </w:r>
      <w:r w:rsidR="00506289">
        <w:rPr>
          <w:b/>
          <w:bCs/>
        </w:rPr>
        <w:t xml:space="preserve">ata </w:t>
      </w:r>
      <w:r w:rsidR="004940FF">
        <w:rPr>
          <w:b/>
          <w:bCs/>
        </w:rPr>
        <w:t>M</w:t>
      </w:r>
      <w:r w:rsidR="00506289">
        <w:rPr>
          <w:b/>
          <w:bCs/>
        </w:rPr>
        <w:t>odel</w:t>
      </w:r>
    </w:p>
    <w:p w14:paraId="5167EDC5" w14:textId="77777777" w:rsidR="007F4E6B" w:rsidRDefault="007F4E6B" w:rsidP="007F4E6B">
      <w:pPr>
        <w:spacing w:after="0"/>
      </w:pPr>
    </w:p>
    <w:p w14:paraId="1B197C87" w14:textId="2BCA0B16" w:rsidR="007F4E6B" w:rsidRPr="00EC5C1F" w:rsidRDefault="007F4E6B" w:rsidP="007F4E6B">
      <w:pPr>
        <w:spacing w:after="0"/>
      </w:pPr>
      <w:r w:rsidRPr="00EC5C1F">
        <w:rPr>
          <w:u w:val="single"/>
        </w:rPr>
        <w:t>Report</w:t>
      </w:r>
      <w:r>
        <w:rPr>
          <w:u w:val="single"/>
        </w:rPr>
        <w:t>s</w:t>
      </w:r>
      <w:r w:rsidRPr="00EC5C1F">
        <w:t xml:space="preserve">: </w:t>
      </w:r>
      <w:r w:rsidR="00844DB6">
        <w:t>Partnership Data Exchange Files</w:t>
      </w:r>
    </w:p>
    <w:p w14:paraId="3BCB1857" w14:textId="77777777" w:rsidR="007F4E6B" w:rsidRDefault="007F4E6B" w:rsidP="007F4E6B">
      <w:pPr>
        <w:spacing w:after="0"/>
      </w:pPr>
    </w:p>
    <w:p w14:paraId="79719E83" w14:textId="163BE5ED" w:rsidR="007F4E6B" w:rsidRDefault="007F4E6B" w:rsidP="007F4E6B">
      <w:pPr>
        <w:spacing w:after="0"/>
      </w:pPr>
      <w:r w:rsidRPr="00254877">
        <w:rPr>
          <w:u w:val="single"/>
        </w:rPr>
        <w:t>Issue</w:t>
      </w:r>
      <w:r>
        <w:t xml:space="preserve">: </w:t>
      </w:r>
      <w:r w:rsidR="005021C6">
        <w:t>Would health centers agree to add raw scores to depression screening Importer?</w:t>
      </w:r>
    </w:p>
    <w:p w14:paraId="16DB10C9" w14:textId="77777777" w:rsidR="007F4E6B" w:rsidRDefault="007F4E6B" w:rsidP="007F4E6B">
      <w:pPr>
        <w:spacing w:after="0"/>
      </w:pPr>
    </w:p>
    <w:p w14:paraId="6D1FB8F9" w14:textId="37731008" w:rsidR="007F4E6B" w:rsidRDefault="007F4E6B" w:rsidP="007F4E6B">
      <w:pPr>
        <w:spacing w:after="0"/>
      </w:pPr>
      <w:r w:rsidRPr="00EC5C1F">
        <w:rPr>
          <w:u w:val="single"/>
        </w:rPr>
        <w:t>Description</w:t>
      </w:r>
      <w:r w:rsidRPr="00EC5C1F">
        <w:t>:</w:t>
      </w:r>
      <w:r>
        <w:t xml:space="preserve"> </w:t>
      </w:r>
      <w:r w:rsidR="005021C6">
        <w:t xml:space="preserve">The Importer for </w:t>
      </w:r>
      <w:r w:rsidR="005021C6">
        <w:t>PHQ-9 screening (“</w:t>
      </w:r>
      <w:r w:rsidR="005021C6" w:rsidRPr="005021C6">
        <w:t>phq9_and_phq9_m_screens</w:t>
      </w:r>
      <w:r w:rsidR="005021C6">
        <w:t>”) has a field “result” that displays the numerical score of the screen.</w:t>
      </w:r>
    </w:p>
    <w:p w14:paraId="5084AAC1" w14:textId="220CD097" w:rsidR="005021C6" w:rsidRDefault="005021C6" w:rsidP="007F4E6B">
      <w:pPr>
        <w:spacing w:after="0"/>
      </w:pPr>
    </w:p>
    <w:p w14:paraId="00DFBAC5" w14:textId="475CCDA2" w:rsidR="005021C6" w:rsidRDefault="005021C6" w:rsidP="007F4E6B">
      <w:pPr>
        <w:spacing w:after="0"/>
      </w:pPr>
      <w:r>
        <w:t xml:space="preserve">PHQ-2 and other depression screening appear on the </w:t>
      </w:r>
      <w:r>
        <w:t>Importer</w:t>
      </w:r>
      <w:r>
        <w:t xml:space="preserve"> “</w:t>
      </w:r>
      <w:proofErr w:type="spellStart"/>
      <w:r w:rsidRPr="005021C6">
        <w:t>depression_screens</w:t>
      </w:r>
      <w:proofErr w:type="spellEnd"/>
      <w:r>
        <w:t>.” This Importer has a result field, but this is a TRUE/FALSE field indicating if the screen is positive or not.</w:t>
      </w:r>
    </w:p>
    <w:p w14:paraId="4E49AAEC" w14:textId="7B2F0F39" w:rsidR="005021C6" w:rsidRDefault="005021C6" w:rsidP="007F4E6B">
      <w:pPr>
        <w:spacing w:after="0"/>
      </w:pPr>
    </w:p>
    <w:p w14:paraId="576808B3" w14:textId="047D52CF" w:rsidR="005021C6" w:rsidRDefault="005021C6" w:rsidP="007F4E6B">
      <w:pPr>
        <w:spacing w:after="0"/>
      </w:pPr>
      <w:r>
        <w:t>If we were to add the score to the Importer, we would also need to add the screening instrument. Although most health centers use the standard PHQ-2, there are other instruments in use and each one has a different numerical score indicating a positive result. The chart at the below shows some examples from a Partnership presentation.</w:t>
      </w:r>
    </w:p>
    <w:p w14:paraId="21F31A61" w14:textId="0647C63F" w:rsidR="005021C6" w:rsidRDefault="005021C6" w:rsidP="007F4E6B">
      <w:pPr>
        <w:spacing w:after="0"/>
      </w:pPr>
    </w:p>
    <w:p w14:paraId="0A8D0B8C" w14:textId="5ED1AA1E" w:rsidR="005021C6" w:rsidRDefault="005021C6" w:rsidP="005021C6">
      <w:pPr>
        <w:spacing w:after="0"/>
        <w:jc w:val="center"/>
      </w:pPr>
      <w:r>
        <w:rPr>
          <w:noProof/>
        </w:rPr>
        <w:drawing>
          <wp:inline distT="0" distB="0" distL="0" distR="0" wp14:anchorId="7CFCE9EB" wp14:editId="56C54BE4">
            <wp:extent cx="4069413" cy="3305175"/>
            <wp:effectExtent l="19050" t="19050" r="2667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7154" cy="3311462"/>
                    </a:xfrm>
                    <a:prstGeom prst="rect">
                      <a:avLst/>
                    </a:prstGeom>
                    <a:noFill/>
                    <a:ln w="3175">
                      <a:solidFill>
                        <a:schemeClr val="tx1"/>
                      </a:solidFill>
                    </a:ln>
                  </pic:spPr>
                </pic:pic>
              </a:graphicData>
            </a:graphic>
          </wp:inline>
        </w:drawing>
      </w:r>
    </w:p>
    <w:p w14:paraId="7EBE024B" w14:textId="77777777" w:rsidR="007F4E6B" w:rsidRDefault="007F4E6B" w:rsidP="009409BB">
      <w:pPr>
        <w:spacing w:after="0"/>
      </w:pPr>
    </w:p>
    <w:p w14:paraId="55780EB9" w14:textId="77777777" w:rsidR="00D73E5F" w:rsidRPr="004D0086" w:rsidRDefault="00D73E5F" w:rsidP="004D0086">
      <w:pPr>
        <w:tabs>
          <w:tab w:val="left" w:pos="7740"/>
        </w:tabs>
        <w:spacing w:after="0"/>
      </w:pPr>
    </w:p>
    <w:sectPr w:rsidR="00D73E5F" w:rsidRPr="004D008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45D8" w14:textId="77777777" w:rsidR="00135C7D" w:rsidRDefault="00135C7D" w:rsidP="0048524A">
      <w:pPr>
        <w:spacing w:after="0" w:line="240" w:lineRule="auto"/>
      </w:pPr>
      <w:r>
        <w:separator/>
      </w:r>
    </w:p>
  </w:endnote>
  <w:endnote w:type="continuationSeparator" w:id="0">
    <w:p w14:paraId="159EA58F" w14:textId="77777777" w:rsidR="00135C7D" w:rsidRDefault="00135C7D" w:rsidP="0048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203435"/>
      <w:docPartObj>
        <w:docPartGallery w:val="Page Numbers (Bottom of Page)"/>
        <w:docPartUnique/>
      </w:docPartObj>
    </w:sdtPr>
    <w:sdtEndPr/>
    <w:sdtContent>
      <w:sdt>
        <w:sdtPr>
          <w:id w:val="1728636285"/>
          <w:docPartObj>
            <w:docPartGallery w:val="Page Numbers (Top of Page)"/>
            <w:docPartUnique/>
          </w:docPartObj>
        </w:sdtPr>
        <w:sdtEndPr/>
        <w:sdtContent>
          <w:p w14:paraId="48CFC7A7" w14:textId="1EAFE8BE" w:rsidR="0048524A" w:rsidRDefault="0048524A">
            <w:pPr>
              <w:pStyle w:val="Footer"/>
              <w:jc w:val="center"/>
            </w:pPr>
            <w:r w:rsidRPr="0048524A">
              <w:rPr>
                <w:sz w:val="20"/>
                <w:szCs w:val="20"/>
              </w:rPr>
              <w:t xml:space="preserve">Page </w:t>
            </w:r>
            <w:r w:rsidRPr="0048524A">
              <w:rPr>
                <w:b/>
                <w:bCs/>
                <w:sz w:val="20"/>
                <w:szCs w:val="20"/>
              </w:rPr>
              <w:fldChar w:fldCharType="begin"/>
            </w:r>
            <w:r w:rsidRPr="0048524A">
              <w:rPr>
                <w:b/>
                <w:bCs/>
                <w:sz w:val="20"/>
                <w:szCs w:val="20"/>
              </w:rPr>
              <w:instrText xml:space="preserve"> PAGE </w:instrText>
            </w:r>
            <w:r w:rsidRPr="0048524A">
              <w:rPr>
                <w:b/>
                <w:bCs/>
                <w:sz w:val="20"/>
                <w:szCs w:val="20"/>
              </w:rPr>
              <w:fldChar w:fldCharType="separate"/>
            </w:r>
            <w:r w:rsidRPr="0048524A">
              <w:rPr>
                <w:b/>
                <w:bCs/>
                <w:noProof/>
                <w:sz w:val="20"/>
                <w:szCs w:val="20"/>
              </w:rPr>
              <w:t>2</w:t>
            </w:r>
            <w:r w:rsidRPr="0048524A">
              <w:rPr>
                <w:b/>
                <w:bCs/>
                <w:sz w:val="20"/>
                <w:szCs w:val="20"/>
              </w:rPr>
              <w:fldChar w:fldCharType="end"/>
            </w:r>
            <w:r w:rsidRPr="0048524A">
              <w:rPr>
                <w:sz w:val="20"/>
                <w:szCs w:val="20"/>
              </w:rPr>
              <w:t xml:space="preserve"> of </w:t>
            </w:r>
            <w:r w:rsidRPr="0048524A">
              <w:rPr>
                <w:b/>
                <w:bCs/>
                <w:sz w:val="20"/>
                <w:szCs w:val="20"/>
              </w:rPr>
              <w:fldChar w:fldCharType="begin"/>
            </w:r>
            <w:r w:rsidRPr="0048524A">
              <w:rPr>
                <w:b/>
                <w:bCs/>
                <w:sz w:val="20"/>
                <w:szCs w:val="20"/>
              </w:rPr>
              <w:instrText xml:space="preserve"> NUMPAGES  </w:instrText>
            </w:r>
            <w:r w:rsidRPr="0048524A">
              <w:rPr>
                <w:b/>
                <w:bCs/>
                <w:sz w:val="20"/>
                <w:szCs w:val="20"/>
              </w:rPr>
              <w:fldChar w:fldCharType="separate"/>
            </w:r>
            <w:r w:rsidRPr="0048524A">
              <w:rPr>
                <w:b/>
                <w:bCs/>
                <w:noProof/>
                <w:sz w:val="20"/>
                <w:szCs w:val="20"/>
              </w:rPr>
              <w:t>2</w:t>
            </w:r>
            <w:r w:rsidRPr="0048524A">
              <w:rPr>
                <w:b/>
                <w:bCs/>
                <w:sz w:val="20"/>
                <w:szCs w:val="20"/>
              </w:rPr>
              <w:fldChar w:fldCharType="end"/>
            </w:r>
          </w:p>
        </w:sdtContent>
      </w:sdt>
    </w:sdtContent>
  </w:sdt>
  <w:p w14:paraId="71CE69E9" w14:textId="77777777" w:rsidR="0048524A" w:rsidRDefault="00485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A1DE5" w14:textId="77777777" w:rsidR="00135C7D" w:rsidRDefault="00135C7D" w:rsidP="0048524A">
      <w:pPr>
        <w:spacing w:after="0" w:line="240" w:lineRule="auto"/>
      </w:pPr>
      <w:r>
        <w:separator/>
      </w:r>
    </w:p>
  </w:footnote>
  <w:footnote w:type="continuationSeparator" w:id="0">
    <w:p w14:paraId="48B85E70" w14:textId="77777777" w:rsidR="00135C7D" w:rsidRDefault="00135C7D" w:rsidP="0048524A">
      <w:pPr>
        <w:spacing w:after="0" w:line="240" w:lineRule="auto"/>
      </w:pPr>
      <w:r>
        <w:continuationSeparator/>
      </w:r>
    </w:p>
  </w:footnote>
  <w:footnote w:id="1">
    <w:p w14:paraId="6784DAA8" w14:textId="59022AE9" w:rsidR="00E77C94" w:rsidRDefault="00E77C94">
      <w:pPr>
        <w:pStyle w:val="FootnoteText"/>
      </w:pPr>
      <w:r>
        <w:rPr>
          <w:rStyle w:val="FootnoteReference"/>
        </w:rPr>
        <w:footnoteRef/>
      </w:r>
      <w:r>
        <w:t xml:space="preserve"> The Partnership QIP measures are an exception because they define and provide the denominator lists of patients. These patients may or may not have had a visit or any kind with the health center,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7975"/>
    <w:multiLevelType w:val="hybridMultilevel"/>
    <w:tmpl w:val="8708DBAE"/>
    <w:lvl w:ilvl="0" w:tplc="67F2078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331B0"/>
    <w:multiLevelType w:val="hybridMultilevel"/>
    <w:tmpl w:val="3A02E9A0"/>
    <w:lvl w:ilvl="0" w:tplc="552A95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A59D9"/>
    <w:multiLevelType w:val="hybridMultilevel"/>
    <w:tmpl w:val="67383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F1010"/>
    <w:multiLevelType w:val="hybridMultilevel"/>
    <w:tmpl w:val="D2326C5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41D017FB"/>
    <w:multiLevelType w:val="hybridMultilevel"/>
    <w:tmpl w:val="6BBEF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1251F"/>
    <w:multiLevelType w:val="hybridMultilevel"/>
    <w:tmpl w:val="6CC41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C028A"/>
    <w:multiLevelType w:val="hybridMultilevel"/>
    <w:tmpl w:val="6BBEF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C63A5"/>
    <w:multiLevelType w:val="hybridMultilevel"/>
    <w:tmpl w:val="DBFA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9217C"/>
    <w:multiLevelType w:val="hybridMultilevel"/>
    <w:tmpl w:val="939C3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24FB6"/>
    <w:multiLevelType w:val="hybridMultilevel"/>
    <w:tmpl w:val="D256A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122A77"/>
    <w:multiLevelType w:val="hybridMultilevel"/>
    <w:tmpl w:val="B1B86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E09F5"/>
    <w:multiLevelType w:val="hybridMultilevel"/>
    <w:tmpl w:val="C358826E"/>
    <w:lvl w:ilvl="0" w:tplc="552A95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5B406F"/>
    <w:multiLevelType w:val="hybridMultilevel"/>
    <w:tmpl w:val="6E0ACDF0"/>
    <w:lvl w:ilvl="0" w:tplc="81EC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891CDC"/>
    <w:multiLevelType w:val="hybridMultilevel"/>
    <w:tmpl w:val="D9E230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C6B0C"/>
    <w:multiLevelType w:val="hybridMultilevel"/>
    <w:tmpl w:val="E1A405FA"/>
    <w:lvl w:ilvl="0" w:tplc="03C8860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0"/>
  </w:num>
  <w:num w:numId="5">
    <w:abstractNumId w:val="4"/>
  </w:num>
  <w:num w:numId="6">
    <w:abstractNumId w:val="2"/>
  </w:num>
  <w:num w:numId="7">
    <w:abstractNumId w:val="9"/>
  </w:num>
  <w:num w:numId="8">
    <w:abstractNumId w:val="12"/>
  </w:num>
  <w:num w:numId="9">
    <w:abstractNumId w:val="14"/>
  </w:num>
  <w:num w:numId="10">
    <w:abstractNumId w:val="10"/>
  </w:num>
  <w:num w:numId="11">
    <w:abstractNumId w:val="7"/>
  </w:num>
  <w:num w:numId="12">
    <w:abstractNumId w:val="13"/>
  </w:num>
  <w:num w:numId="13">
    <w:abstractNumId w:val="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91"/>
    <w:rsid w:val="00003D02"/>
    <w:rsid w:val="00074B5E"/>
    <w:rsid w:val="0007759D"/>
    <w:rsid w:val="00130C0E"/>
    <w:rsid w:val="00135C7D"/>
    <w:rsid w:val="001E6889"/>
    <w:rsid w:val="0022551B"/>
    <w:rsid w:val="002465DF"/>
    <w:rsid w:val="00253C91"/>
    <w:rsid w:val="00276112"/>
    <w:rsid w:val="002A10C3"/>
    <w:rsid w:val="002B4B99"/>
    <w:rsid w:val="002E7AC1"/>
    <w:rsid w:val="0039719C"/>
    <w:rsid w:val="003A0D3C"/>
    <w:rsid w:val="003F38BE"/>
    <w:rsid w:val="00414FB2"/>
    <w:rsid w:val="00454BEA"/>
    <w:rsid w:val="0048524A"/>
    <w:rsid w:val="004940FF"/>
    <w:rsid w:val="00495069"/>
    <w:rsid w:val="004A4CEA"/>
    <w:rsid w:val="004D0086"/>
    <w:rsid w:val="004E37A4"/>
    <w:rsid w:val="005021C6"/>
    <w:rsid w:val="00506289"/>
    <w:rsid w:val="005202CC"/>
    <w:rsid w:val="005C50AF"/>
    <w:rsid w:val="005D6EDD"/>
    <w:rsid w:val="006103A6"/>
    <w:rsid w:val="00620ACE"/>
    <w:rsid w:val="00780E3C"/>
    <w:rsid w:val="00785FF1"/>
    <w:rsid w:val="007D671B"/>
    <w:rsid w:val="007F4E6B"/>
    <w:rsid w:val="00803CFF"/>
    <w:rsid w:val="00820B4F"/>
    <w:rsid w:val="00844DB6"/>
    <w:rsid w:val="00853471"/>
    <w:rsid w:val="008821FE"/>
    <w:rsid w:val="008D598B"/>
    <w:rsid w:val="008E0092"/>
    <w:rsid w:val="008E6C60"/>
    <w:rsid w:val="009409BB"/>
    <w:rsid w:val="00941C99"/>
    <w:rsid w:val="00951198"/>
    <w:rsid w:val="00995491"/>
    <w:rsid w:val="0099706C"/>
    <w:rsid w:val="009B0DD0"/>
    <w:rsid w:val="009E33F3"/>
    <w:rsid w:val="009E5896"/>
    <w:rsid w:val="009F7388"/>
    <w:rsid w:val="00A14FC7"/>
    <w:rsid w:val="00A845D7"/>
    <w:rsid w:val="00A87F6D"/>
    <w:rsid w:val="00AB1ECA"/>
    <w:rsid w:val="00B14AC0"/>
    <w:rsid w:val="00B15D70"/>
    <w:rsid w:val="00B22721"/>
    <w:rsid w:val="00B66931"/>
    <w:rsid w:val="00B8101A"/>
    <w:rsid w:val="00B9460B"/>
    <w:rsid w:val="00BF1BEE"/>
    <w:rsid w:val="00C25613"/>
    <w:rsid w:val="00C6081F"/>
    <w:rsid w:val="00C867B1"/>
    <w:rsid w:val="00CD62F8"/>
    <w:rsid w:val="00D407D6"/>
    <w:rsid w:val="00D73458"/>
    <w:rsid w:val="00D73E5F"/>
    <w:rsid w:val="00DB144B"/>
    <w:rsid w:val="00E26920"/>
    <w:rsid w:val="00E32695"/>
    <w:rsid w:val="00E461B1"/>
    <w:rsid w:val="00E54026"/>
    <w:rsid w:val="00E77C94"/>
    <w:rsid w:val="00E81D9A"/>
    <w:rsid w:val="00F439A6"/>
    <w:rsid w:val="00FD02C9"/>
    <w:rsid w:val="00FF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6EEA"/>
  <w15:chartTrackingRefBased/>
  <w15:docId w15:val="{2E0C8CCE-7E06-47C4-B405-6F6A85DA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C91"/>
    <w:pPr>
      <w:ind w:left="720"/>
      <w:contextualSpacing/>
    </w:pPr>
  </w:style>
  <w:style w:type="paragraph" w:styleId="Header">
    <w:name w:val="header"/>
    <w:basedOn w:val="Normal"/>
    <w:link w:val="HeaderChar"/>
    <w:uiPriority w:val="99"/>
    <w:unhideWhenUsed/>
    <w:rsid w:val="00485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24A"/>
  </w:style>
  <w:style w:type="paragraph" w:styleId="Footer">
    <w:name w:val="footer"/>
    <w:basedOn w:val="Normal"/>
    <w:link w:val="FooterChar"/>
    <w:uiPriority w:val="99"/>
    <w:unhideWhenUsed/>
    <w:rsid w:val="00485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24A"/>
  </w:style>
  <w:style w:type="table" w:styleId="TableGrid">
    <w:name w:val="Table Grid"/>
    <w:basedOn w:val="TableNormal"/>
    <w:uiPriority w:val="39"/>
    <w:rsid w:val="008E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2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695"/>
    <w:rPr>
      <w:sz w:val="20"/>
      <w:szCs w:val="20"/>
    </w:rPr>
  </w:style>
  <w:style w:type="character" w:styleId="FootnoteReference">
    <w:name w:val="footnote reference"/>
    <w:basedOn w:val="DefaultParagraphFont"/>
    <w:uiPriority w:val="99"/>
    <w:semiHidden/>
    <w:unhideWhenUsed/>
    <w:rsid w:val="00E32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7475">
      <w:bodyDiv w:val="1"/>
      <w:marLeft w:val="0"/>
      <w:marRight w:val="0"/>
      <w:marTop w:val="0"/>
      <w:marBottom w:val="0"/>
      <w:divBdr>
        <w:top w:val="none" w:sz="0" w:space="0" w:color="auto"/>
        <w:left w:val="none" w:sz="0" w:space="0" w:color="auto"/>
        <w:bottom w:val="none" w:sz="0" w:space="0" w:color="auto"/>
        <w:right w:val="none" w:sz="0" w:space="0" w:color="auto"/>
      </w:divBdr>
    </w:div>
    <w:div w:id="465970109">
      <w:bodyDiv w:val="1"/>
      <w:marLeft w:val="0"/>
      <w:marRight w:val="0"/>
      <w:marTop w:val="0"/>
      <w:marBottom w:val="0"/>
      <w:divBdr>
        <w:top w:val="none" w:sz="0" w:space="0" w:color="auto"/>
        <w:left w:val="none" w:sz="0" w:space="0" w:color="auto"/>
        <w:bottom w:val="none" w:sz="0" w:space="0" w:color="auto"/>
        <w:right w:val="none" w:sz="0" w:space="0" w:color="auto"/>
      </w:divBdr>
    </w:div>
    <w:div w:id="779451580">
      <w:bodyDiv w:val="1"/>
      <w:marLeft w:val="0"/>
      <w:marRight w:val="0"/>
      <w:marTop w:val="0"/>
      <w:marBottom w:val="0"/>
      <w:divBdr>
        <w:top w:val="none" w:sz="0" w:space="0" w:color="auto"/>
        <w:left w:val="none" w:sz="0" w:space="0" w:color="auto"/>
        <w:bottom w:val="none" w:sz="0" w:space="0" w:color="auto"/>
        <w:right w:val="none" w:sz="0" w:space="0" w:color="auto"/>
      </w:divBdr>
    </w:div>
    <w:div w:id="970133180">
      <w:bodyDiv w:val="1"/>
      <w:marLeft w:val="0"/>
      <w:marRight w:val="0"/>
      <w:marTop w:val="0"/>
      <w:marBottom w:val="0"/>
      <w:divBdr>
        <w:top w:val="none" w:sz="0" w:space="0" w:color="auto"/>
        <w:left w:val="none" w:sz="0" w:space="0" w:color="auto"/>
        <w:bottom w:val="none" w:sz="0" w:space="0" w:color="auto"/>
        <w:right w:val="none" w:sz="0" w:space="0" w:color="auto"/>
      </w:divBdr>
    </w:div>
    <w:div w:id="1394155123">
      <w:bodyDiv w:val="1"/>
      <w:marLeft w:val="0"/>
      <w:marRight w:val="0"/>
      <w:marTop w:val="0"/>
      <w:marBottom w:val="0"/>
      <w:divBdr>
        <w:top w:val="none" w:sz="0" w:space="0" w:color="auto"/>
        <w:left w:val="none" w:sz="0" w:space="0" w:color="auto"/>
        <w:bottom w:val="none" w:sz="0" w:space="0" w:color="auto"/>
        <w:right w:val="none" w:sz="0" w:space="0" w:color="auto"/>
      </w:divBdr>
    </w:div>
    <w:div w:id="1401516360">
      <w:bodyDiv w:val="1"/>
      <w:marLeft w:val="0"/>
      <w:marRight w:val="0"/>
      <w:marTop w:val="0"/>
      <w:marBottom w:val="0"/>
      <w:divBdr>
        <w:top w:val="none" w:sz="0" w:space="0" w:color="auto"/>
        <w:left w:val="none" w:sz="0" w:space="0" w:color="auto"/>
        <w:bottom w:val="none" w:sz="0" w:space="0" w:color="auto"/>
        <w:right w:val="none" w:sz="0" w:space="0" w:color="auto"/>
      </w:divBdr>
    </w:div>
    <w:div w:id="1503934617">
      <w:bodyDiv w:val="1"/>
      <w:marLeft w:val="0"/>
      <w:marRight w:val="0"/>
      <w:marTop w:val="0"/>
      <w:marBottom w:val="0"/>
      <w:divBdr>
        <w:top w:val="none" w:sz="0" w:space="0" w:color="auto"/>
        <w:left w:val="none" w:sz="0" w:space="0" w:color="auto"/>
        <w:bottom w:val="none" w:sz="0" w:space="0" w:color="auto"/>
        <w:right w:val="none" w:sz="0" w:space="0" w:color="auto"/>
      </w:divBdr>
    </w:div>
    <w:div w:id="21287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EAC01314B3EA49966A8E487A3694F4" ma:contentTypeVersion="12" ma:contentTypeDescription="Create a new document." ma:contentTypeScope="" ma:versionID="b35c0769184c9716c64db249cbcc25a0">
  <xsd:schema xmlns:xsd="http://www.w3.org/2001/XMLSchema" xmlns:xs="http://www.w3.org/2001/XMLSchema" xmlns:p="http://schemas.microsoft.com/office/2006/metadata/properties" xmlns:ns1="http://schemas.microsoft.com/sharepoint/v3" xmlns:ns2="b0aa8aea-52a6-4707-aa26-230d17fa29d3" xmlns:ns3="7e2ec103-8b95-4f4a-a3e6-8ece90e0694c" targetNamespace="http://schemas.microsoft.com/office/2006/metadata/properties" ma:root="true" ma:fieldsID="8f5a9c01d69ab96b23abaff838af4c04" ns1:_="" ns2:_="" ns3:_="">
    <xsd:import namespace="http://schemas.microsoft.com/sharepoint/v3"/>
    <xsd:import namespace="b0aa8aea-52a6-4707-aa26-230d17fa29d3"/>
    <xsd:import namespace="7e2ec103-8b95-4f4a-a3e6-8ece90e0694c"/>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a8aea-52a6-4707-aa26-230d17fa29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ec103-8b95-4f4a-a3e6-8ece90e0694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1FE74D-92CD-4F37-B8D1-DC275089777D}">
  <ds:schemaRefs>
    <ds:schemaRef ds:uri="http://schemas.openxmlformats.org/officeDocument/2006/bibliography"/>
  </ds:schemaRefs>
</ds:datastoreItem>
</file>

<file path=customXml/itemProps2.xml><?xml version="1.0" encoding="utf-8"?>
<ds:datastoreItem xmlns:ds="http://schemas.openxmlformats.org/officeDocument/2006/customXml" ds:itemID="{9AC328D8-1E17-4A26-AC4C-89F819F4162C}"/>
</file>

<file path=customXml/itemProps3.xml><?xml version="1.0" encoding="utf-8"?>
<ds:datastoreItem xmlns:ds="http://schemas.openxmlformats.org/officeDocument/2006/customXml" ds:itemID="{7C4A4401-5587-4FBA-9ADD-1086B00A6A54}"/>
</file>

<file path=customXml/itemProps4.xml><?xml version="1.0" encoding="utf-8"?>
<ds:datastoreItem xmlns:ds="http://schemas.openxmlformats.org/officeDocument/2006/customXml" ds:itemID="{2DA35580-290E-4C37-926A-33D3E832FDE0}"/>
</file>

<file path=docProps/app.xml><?xml version="1.0" encoding="utf-8"?>
<Properties xmlns="http://schemas.openxmlformats.org/officeDocument/2006/extended-properties" xmlns:vt="http://schemas.openxmlformats.org/officeDocument/2006/docPropsVTypes">
  <Template>Normal</Template>
  <TotalTime>289</TotalTime>
  <Pages>4</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10</cp:revision>
  <dcterms:created xsi:type="dcterms:W3CDTF">2021-09-10T17:23:00Z</dcterms:created>
  <dcterms:modified xsi:type="dcterms:W3CDTF">2021-09-10T22:46:00Z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0x01010027EAC01314B3EA49966A8E487A3694F4</vt:lpwstr>
  </property>
  <property fmtid="{D5CDD505-2E9C-101B-9397-08002B2CF9AE}" pid="3" name="Order">
    <vt:r8>2403000</vt:r8>
  </property>
</Properties>
</file>